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1D72" w:rsidRDefault="00CD1D72" w:rsidP="006C57AC">
      <w:pPr>
        <w:spacing w:after="240"/>
        <w:ind w:firstLine="720"/>
      </w:pPr>
    </w:p>
    <w:p w:rsidR="00CD1D72" w:rsidRDefault="00CD1D72" w:rsidP="006C57AC">
      <w:pPr>
        <w:spacing w:after="240"/>
        <w:ind w:firstLine="720"/>
      </w:pPr>
    </w:p>
    <w:p w:rsidR="00CD1D72" w:rsidRDefault="00CD1D72" w:rsidP="006C57AC">
      <w:pPr>
        <w:spacing w:after="240"/>
        <w:ind w:firstLine="720"/>
      </w:pPr>
    </w:p>
    <w:p w:rsidR="00CD1D72" w:rsidRDefault="00CD1D72" w:rsidP="006C57AC">
      <w:pPr>
        <w:spacing w:after="240"/>
        <w:ind w:firstLine="720"/>
      </w:pPr>
    </w:p>
    <w:p w:rsidR="00CD1D72" w:rsidRDefault="00CD1D72" w:rsidP="006C57AC">
      <w:pPr>
        <w:spacing w:after="240"/>
        <w:ind w:firstLine="720"/>
      </w:pPr>
    </w:p>
    <w:p w:rsidR="00CD1D72" w:rsidRDefault="00CD1D72" w:rsidP="006C57AC">
      <w:pPr>
        <w:spacing w:after="240"/>
        <w:ind w:firstLine="720"/>
      </w:pPr>
    </w:p>
    <w:p w:rsidR="00CD1D72" w:rsidRDefault="00CD1D72" w:rsidP="006C57AC">
      <w:pPr>
        <w:spacing w:after="240"/>
        <w:ind w:firstLine="720"/>
        <w:rPr>
          <w:b/>
        </w:rPr>
      </w:pPr>
      <w:r>
        <w:rPr>
          <w:b/>
        </w:rPr>
        <w:t xml:space="preserve">        </w:t>
      </w:r>
      <w:r w:rsidRPr="00CD1D72">
        <w:rPr>
          <w:b/>
        </w:rPr>
        <w:t>Ecological Movement Vs. The Environmental Justice Movement</w:t>
      </w:r>
    </w:p>
    <w:p w:rsidR="00CD1D72" w:rsidRDefault="00CD1D72" w:rsidP="00CD1D72">
      <w:pPr>
        <w:spacing w:line="480" w:lineRule="auto"/>
        <w:jc w:val="center"/>
      </w:pPr>
      <w:r>
        <w:t>Student’s Name</w:t>
      </w:r>
    </w:p>
    <w:p w:rsidR="00CD1D72" w:rsidRDefault="00CD1D72" w:rsidP="00CD1D72">
      <w:pPr>
        <w:spacing w:line="480" w:lineRule="auto"/>
        <w:jc w:val="center"/>
      </w:pPr>
      <w:r>
        <w:t>Institutional Affiliation</w:t>
      </w:r>
    </w:p>
    <w:p w:rsidR="00CD1D72" w:rsidRDefault="00CD1D72" w:rsidP="00CD1D72">
      <w:pPr>
        <w:spacing w:line="480" w:lineRule="auto"/>
        <w:jc w:val="center"/>
      </w:pPr>
      <w:r>
        <w:t>Course Code and Number</w:t>
      </w:r>
    </w:p>
    <w:p w:rsidR="00CD1D72" w:rsidRDefault="00CD1D72" w:rsidP="00CD1D72">
      <w:pPr>
        <w:spacing w:line="480" w:lineRule="auto"/>
        <w:jc w:val="center"/>
      </w:pPr>
      <w:r>
        <w:t>Instructor’s Name</w:t>
      </w:r>
    </w:p>
    <w:p w:rsidR="00CD1D72" w:rsidRDefault="00CD1D72" w:rsidP="00CD1D72">
      <w:pPr>
        <w:spacing w:line="480" w:lineRule="auto"/>
        <w:jc w:val="center"/>
      </w:pPr>
      <w:r>
        <w:t>Date</w:t>
      </w:r>
    </w:p>
    <w:p w:rsidR="00CD1D72" w:rsidRPr="00CD1D72" w:rsidRDefault="00CD1D72" w:rsidP="006C57AC">
      <w:pPr>
        <w:spacing w:after="240"/>
        <w:ind w:firstLine="720"/>
        <w:rPr>
          <w:b/>
        </w:rPr>
      </w:pPr>
    </w:p>
    <w:p w:rsidR="00CD1D72" w:rsidRDefault="00CD1D72" w:rsidP="006C57AC">
      <w:pPr>
        <w:spacing w:after="240"/>
        <w:ind w:firstLine="720"/>
      </w:pPr>
    </w:p>
    <w:p w:rsidR="00CD1D72" w:rsidRDefault="00CD1D72" w:rsidP="006C57AC">
      <w:pPr>
        <w:spacing w:after="240"/>
        <w:ind w:firstLine="720"/>
      </w:pPr>
    </w:p>
    <w:p w:rsidR="005C3131" w:rsidRDefault="005C3131">
      <w:r>
        <w:br w:type="page"/>
      </w:r>
    </w:p>
    <w:p w:rsidR="00CD1D72" w:rsidRPr="00CD1D72" w:rsidRDefault="00CD1D72" w:rsidP="005C3131">
      <w:pPr>
        <w:spacing w:after="240"/>
        <w:jc w:val="center"/>
        <w:rPr>
          <w:b/>
        </w:rPr>
      </w:pPr>
      <w:bookmarkStart w:id="0" w:name="_GoBack"/>
      <w:bookmarkEnd w:id="0"/>
      <w:r w:rsidRPr="00CD1D72">
        <w:rPr>
          <w:b/>
        </w:rPr>
        <w:lastRenderedPageBreak/>
        <w:t>Ecological Movement Vs. The Environmental Justice Movement</w:t>
      </w:r>
    </w:p>
    <w:p w:rsidR="005F219F" w:rsidRDefault="001B3B63" w:rsidP="006C57AC">
      <w:pPr>
        <w:spacing w:after="240"/>
        <w:ind w:firstLine="720"/>
      </w:pPr>
      <w:r>
        <w:t>The unfettered economic development was destroying natural resources and raised alarms about the public health issue of crowded cities, where raw sewage and industrial run-off flooded the streams</w:t>
      </w:r>
      <w:r w:rsidR="006C57AC">
        <w:t xml:space="preserve"> in America</w:t>
      </w:r>
      <w:r>
        <w:t>. Smokestack pollution obscured the air that people breathed. Scientific experts, urban reformers, and women's groups advocated legislation to reduce disease and clean up the land, water, and air. Conservation groups also began mobilizing in the late 1800s to conserve wilderness regions and wildlife and restrict logging, mining, dam construction, and other assaults on natural resources</w:t>
      </w:r>
      <w:r w:rsidR="00CD1D72">
        <w:t>, giving rise to the ecological movement</w:t>
      </w:r>
      <w:r>
        <w:t>. Early environmental campaigners such as John Muir, who formed the Sierra Club in 1892, were not so many radicals as fundamentally conservative visionaries who feared the encroachment of industrialization and industrial expansion on America's natural beauty, especially in the West.</w:t>
      </w:r>
    </w:p>
    <w:p w:rsidR="005F219F" w:rsidRDefault="001B3B63" w:rsidP="006C57AC">
      <w:pPr>
        <w:spacing w:before="240" w:after="240"/>
        <w:ind w:firstLine="720"/>
      </w:pPr>
      <w:r>
        <w:t xml:space="preserve">Early conservation groups called on the government to establish national parks to protect America's most beautiful national forests and better regulate natural resources' development instead of exploiting them at an unsustainable level. The government agreed, and national parks were established to preserve America's most beautiful nature reserves and to regulate the development of natural resources better. The establishment of national parks became a means of protecting these regions to retain their ecological richness and provide wilderness resources for hikers and other outdoor recreation lovers to enjoy. Environmental philosophy and the notion of "ecology" grew in popularity as the ecological movement developed. Ecology is an awareness of how the natural environment impacts human life and how the activities of humans negatively shape the </w:t>
      </w:r>
      <w:r w:rsidR="006C57AC">
        <w:t>environment (Taylor, 2020)</w:t>
      </w:r>
      <w:r>
        <w:t>. According to the environmental movement, the concept of competition between humans and nature, along with resource extraction, is a product of the ideals of industrial capitalism, which they blame on the values of industrial capitalism. Those with an ecological sensibility imagined a state of natural coexistence, characterized by mutual interaction, between humans and their surroundings. Besides, Michigan Residents Demand Forest Protection in the 1960s.</w:t>
      </w:r>
    </w:p>
    <w:p w:rsidR="005F219F" w:rsidRDefault="001B3B63" w:rsidP="006C57AC">
      <w:pPr>
        <w:spacing w:before="240" w:after="240"/>
        <w:ind w:firstLine="720"/>
      </w:pPr>
      <w:r>
        <w:t>During the 1950s and 1960s, several variabl</w:t>
      </w:r>
      <w:r w:rsidR="00CD1D72">
        <w:t>es accelerated the ecological</w:t>
      </w:r>
      <w:r>
        <w:t xml:space="preserve"> movement and raised awareness of ecological issues in general. After World War II, postwar America's extraordinary prosperity enabled millions of white middle-class families to relocate to the suburbs in quest of pastoral vistas and quality of life that their contemporary consumer society threatened with pesticides, smog, water pollution, and other dangers. During the 1950s and 1960s, several variables accelerated the environmental movement and raised awareness of environmental issues in general. After World War II, postwar America's extraordinary prosperity enabled millions of white middle-class families to relocate to the suburbs in quest of pastoral vistas and quality of life that their own contemporary consumer society threatened with</w:t>
      </w:r>
      <w:r w:rsidR="006C57AC">
        <w:t xml:space="preserve"> water pollution,</w:t>
      </w:r>
      <w:r>
        <w:t xml:space="preserve"> pesticides</w:t>
      </w:r>
      <w:r w:rsidR="006C57AC">
        <w:t xml:space="preserve"> and smog among other </w:t>
      </w:r>
      <w:r w:rsidR="00CD1D72">
        <w:t>dangers (</w:t>
      </w:r>
      <w:r w:rsidR="006C57AC">
        <w:t>Johnson and Greenberg</w:t>
      </w:r>
      <w:r>
        <w:t>,</w:t>
      </w:r>
      <w:r w:rsidR="006C57AC">
        <w:t xml:space="preserve"> 2017). Working</w:t>
      </w:r>
      <w:r>
        <w:t>-class, impoverished, and nonwhite groups in towns and cities were disproportionately harmed by water and air pollution, a pattern that eventually fused civil rights, labor rights, and environmental consciousness to form the environmental justice movement.</w:t>
      </w:r>
    </w:p>
    <w:p w:rsidR="005F219F" w:rsidRDefault="001B3B63" w:rsidP="006C57AC">
      <w:pPr>
        <w:spacing w:before="240" w:after="240"/>
        <w:ind w:firstLine="720"/>
      </w:pPr>
      <w:r>
        <w:t xml:space="preserve">However, despite the fact that they have received less attention, African American activists were also involved in early environmental campaigns, such as protests against lead poisoning in inner-city neighborhoods in St. Louis, which, with the assistance of leading ecologist Barry Commoner, ultimately resulted in local government action in the city. Workers </w:t>
      </w:r>
      <w:r>
        <w:lastRenderedPageBreak/>
        <w:t xml:space="preserve">from the United Farm Workers movement in California and industrial labor unions such as the United Automobile Workers played a critical role in supporting environmental preservation that has gone largely unnoticed in the history of the United States of America. Therefore, the environmental movement began with grassroots efforts from concerned citizens across the country and evolved into a national movement that combined forest protection with ecological justice, involving a diverse range of activist pioneers who called on the government and polluting corporations to </w:t>
      </w:r>
      <w:r w:rsidR="002941C0">
        <w:t>act</w:t>
      </w:r>
      <w:r>
        <w:t xml:space="preserve"> on a variety of issues. Environmental awareness and activism were essential components of the movement for change in the 1970s. Historically marginalized groups such as African Americans, women, and working-class union members were also involved in the campaign for change during that period.</w:t>
      </w:r>
    </w:p>
    <w:p w:rsidR="005F219F" w:rsidRDefault="001B3B63" w:rsidP="006C57AC">
      <w:pPr>
        <w:spacing w:before="240" w:after="240"/>
        <w:ind w:firstLine="720"/>
      </w:pPr>
      <w:r>
        <w:t xml:space="preserve">Following public pressure and grassroots movement in the 1960s, environmental issues arose as a central part of the liberal agenda under the Kennedy and Johnson administrations, which pledged to enhance the overall quality of life for the American people and passed several landmark federal laws. Following President Richard Nixon's inauguration in 1969, the expanding environmental movement and its congressional allies called for even more aggressive action and more thorough regulatory oversight of the environment. Despite environmental activists' criticisms of his administration, Richard Nixon reluctantly signed the legislation and declared a national crusade to preserve the environment. Nevertheless, ecological activists criticized his government for not backing up its strong words with strict enforcement against corporations. Enviro-politics became increasingly crucial to the anti-Vietnam War and New Left movements on college campuses during the </w:t>
      </w:r>
      <w:r w:rsidR="006C57AC">
        <w:t>1960s (Sandling</w:t>
      </w:r>
      <w:r w:rsidR="00CD1D72">
        <w:t xml:space="preserve"> and Chandler,</w:t>
      </w:r>
      <w:r w:rsidR="006C57AC">
        <w:t xml:space="preserve"> 2021)</w:t>
      </w:r>
      <w:r>
        <w:t>. The decade of activism in that decade prepared the ground for the Earth Day teach-ins and demonstrations that marked the beginning of the mass environmental movement in the 1970s. In June 1970, more than 20 million people came to the streets across the United States to demonstrate their opposition to environmental degradation.</w:t>
      </w:r>
    </w:p>
    <w:p w:rsidR="005F219F" w:rsidRDefault="001B3B63" w:rsidP="006C57AC">
      <w:pPr>
        <w:spacing w:before="240" w:after="240"/>
        <w:ind w:firstLine="720"/>
      </w:pPr>
      <w:r>
        <w:t>On the other hand, the Environmental Justice Movement was founded in the 1980s in response to discriminatory environmental policies such as toxic waste dumping, municipal waste facility siting, and land use choices that disproportionately harmed communities of color. Instead, the Environmental Justice Movement may be traced back to the Civil Rights Movement of the 1960s and the Environmental Movement of the 1960s and 1970s to trace its roots back to the Civil Rights Movement. Low-income communities of color have emerged as influential environmental activists, citing the ecological dangers posed by hazardous waste and other harmful chemicals in their areas as justification for what they see to be environmental attacks on their civil rights.</w:t>
      </w:r>
    </w:p>
    <w:p w:rsidR="005F219F" w:rsidRDefault="001B3B63" w:rsidP="00CD1D72">
      <w:pPr>
        <w:spacing w:before="240" w:after="240"/>
        <w:ind w:firstLine="720"/>
      </w:pPr>
      <w:r>
        <w:t xml:space="preserve">Environmental racism grew widely in 1883 with Dr. Benjamin Chavis. Then director of the United Church of Christ's Commission for Racial Justice coined the term in reaction to an incident in Warren County, North Carolina. Despite its failure, the demonstration attracted the attention of national civil rights leaders and environmentalists, and it is often regarded as the origin of the Environmental Justice Movement. The Warren County event also served as the impetus for a Center for Research on Justice Investigation into the relationship between race and toxic </w:t>
      </w:r>
      <w:r w:rsidR="00CD1D72">
        <w:t>waste (Sprinkle and Payne-Sturges, 2021)</w:t>
      </w:r>
      <w:r>
        <w:t xml:space="preserve">. When the Center for Research on the environment published a report about this study, Toxic Wastes and Race in the United States: A National Report on the Racial and Social Economic Characteristics of Communities of Hazardous Waste Sites, it pointed out that toxic waste facilities were disproportionately </w:t>
      </w:r>
      <w:r>
        <w:lastRenderedPageBreak/>
        <w:t>concentrated in minority communities, particularly African American and Hispanic communities.</w:t>
      </w:r>
    </w:p>
    <w:p w:rsidR="005F219F" w:rsidRDefault="001B3B63" w:rsidP="006C57AC">
      <w:pPr>
        <w:spacing w:before="240" w:after="240"/>
        <w:ind w:firstLine="720"/>
      </w:pPr>
      <w:r>
        <w:t xml:space="preserve">Environmental Protection Agency officials met with members of the Congressional Black Caucus and a bipartisan coalition of academics, social scientists, and political activists in 1990 to explore the increased environmental dangers faced by minority and low-income groups. According to the CBC and others, the Environmental Protection Agency's inspections did not adequately address the requirements of low-income communities of color. In response, the Environmental Protection Agency established the Environmental Equity Workgroup. In 1992, the workgroup issued a study, Reducing Risk for All Communities, which addressed these concerns by establishing a link between ethnic minorities' exposure to elevated levels of </w:t>
      </w:r>
      <w:r w:rsidR="00CD1D72">
        <w:t>pollution (Ahmad, 2019)</w:t>
      </w:r>
      <w:r>
        <w:t>. In its report, the panel offered numerous recommendations, one of which was the creation of an office to address environmental injustices in the United States. It was as a result of this that the Office of Environmental Equity was established, and its name was later modified to the Office of Environmental Justice.</w:t>
      </w:r>
    </w:p>
    <w:p w:rsidR="005F219F" w:rsidRDefault="001B3B63" w:rsidP="006C57AC">
      <w:pPr>
        <w:spacing w:before="240" w:after="240"/>
        <w:ind w:firstLine="720"/>
      </w:pPr>
      <w:r>
        <w:t>Under the direction of Rep. James E. Clyburn, the Congressional Black Caucus founded the Environmental Justice Braintrust a few years after the first meeting. According to the broadcaster, environmental justice was identified as one of the top three topics on the CBC's agenda. Established in 2000, the National Environmental Policy Commission results from proposals made by an Environmental Justice Braintrust convened by members of the Congressional Black Caucus. The CBC established it to address issues of environmental justice, public health, and economic development. The Environmental Justice Braintrust of the Congressional Black Caucus has remained a driving force in the environmental justice movement over the past decade.</w:t>
      </w:r>
    </w:p>
    <w:p w:rsidR="005F219F" w:rsidRDefault="001B3B63" w:rsidP="006C57AC">
      <w:pPr>
        <w:spacing w:before="240" w:after="240"/>
        <w:ind w:firstLine="720"/>
      </w:pPr>
      <w:r>
        <w:t xml:space="preserve">The Congressional Black </w:t>
      </w:r>
      <w:r w:rsidR="00CD1D72">
        <w:t>Caucus (CBC)</w:t>
      </w:r>
      <w:r>
        <w:t xml:space="preserve"> was focused on maintaining the environmental health of its constituents. Members of the CBC were staunch supporters of the Clean Water Act, Clean Air Act, and the Safe Drinking Water Act, among other legislation. In the 1980s, the group collaborated with grassroots organizations to ensure that low-income communities of color were protected from discriminatory practices that jeopardized the health of their environment. D</w:t>
      </w:r>
      <w:r w:rsidR="00CD1D72">
        <w:t>uring the 1980s and 1990s, the CBC</w:t>
      </w:r>
      <w:r>
        <w:t xml:space="preserve"> had one of the most favorable vote records on environmental legislation. Rep. John Lewis has presented legislation intending to promote environmental justice, public health, and pollution reduction for more than 15 years.</w:t>
      </w:r>
    </w:p>
    <w:p w:rsidR="002941C0" w:rsidRDefault="001B3B63" w:rsidP="002941C0">
      <w:pPr>
        <w:spacing w:before="240" w:after="240"/>
        <w:ind w:firstLine="720"/>
      </w:pPr>
      <w:r>
        <w:t>During the 110th Congress, Rep. Albert Wynn served as the chair of the Energy and Commerce Committee's Subcommittee on Environment and Hazardous Materials, which oversees legislation affecting the environment and hazardous materials. During her time on the Energy and Commerce Committee, R</w:t>
      </w:r>
      <w:r w:rsidR="006C57AC">
        <w:t>ep. Eddie Bernice Johnson</w:t>
      </w:r>
      <w:r>
        <w:t xml:space="preserve"> served as chair of the Subcommittee on Resources and Environment, Transportation, and Infrastructure. The CBC currently serves on several environmental committees, including the House Committee on Energy and Commerce, the House Committee on Transportation and Infrastructure's Subcommittee on Water Resources and Environment, and the House Appropriations Committee's Subcommittee </w:t>
      </w:r>
      <w:r w:rsidR="00CD1D72">
        <w:t>on Energy and Water Development.</w:t>
      </w:r>
    </w:p>
    <w:p w:rsidR="00CD1D72" w:rsidRDefault="00CD1D72" w:rsidP="002941C0">
      <w:pPr>
        <w:spacing w:before="240" w:after="240"/>
        <w:jc w:val="center"/>
      </w:pPr>
      <w:r>
        <w:t>Reference</w:t>
      </w:r>
      <w:r w:rsidR="002941C0">
        <w:t>s</w:t>
      </w:r>
    </w:p>
    <w:p w:rsidR="00CD1D72" w:rsidRDefault="00CD1D72" w:rsidP="00CD1D72">
      <w:pPr>
        <w:ind w:left="720" w:hanging="720"/>
      </w:pPr>
    </w:p>
    <w:p w:rsidR="006C57AC" w:rsidRDefault="00CD1D72" w:rsidP="00CD1D72">
      <w:pPr>
        <w:ind w:left="720" w:hanging="720"/>
      </w:pPr>
      <w:r>
        <w:t xml:space="preserve">Ahmad, N. B. (2019). Mask off-the Coloniality of Environmental Justice. </w:t>
      </w:r>
      <w:r>
        <w:rPr>
          <w:i/>
          <w:iCs/>
        </w:rPr>
        <w:t>Widener L. Rev.</w:t>
      </w:r>
      <w:r>
        <w:t xml:space="preserve">, </w:t>
      </w:r>
      <w:r>
        <w:rPr>
          <w:i/>
          <w:iCs/>
        </w:rPr>
        <w:t>25</w:t>
      </w:r>
      <w:r>
        <w:t>, 195.</w:t>
      </w:r>
    </w:p>
    <w:p w:rsidR="00CD1D72" w:rsidRDefault="00CD1D72" w:rsidP="00CD1D72">
      <w:pPr>
        <w:ind w:left="720" w:hanging="720"/>
      </w:pPr>
    </w:p>
    <w:p w:rsidR="006C57AC" w:rsidRDefault="006C57AC" w:rsidP="00CD1D72">
      <w:pPr>
        <w:ind w:left="720" w:hanging="720"/>
      </w:pPr>
      <w:r>
        <w:t xml:space="preserve">Johnson, E. W., &amp; Greenberg, P. (2017). The US environmental movement of the 1960s and 1970s: Building frameworks of sustainability. In </w:t>
      </w:r>
      <w:r>
        <w:rPr>
          <w:i/>
          <w:iCs/>
        </w:rPr>
        <w:t>Routledge Handbook of the History of Sustainability</w:t>
      </w:r>
      <w:r>
        <w:t xml:space="preserve"> (pp. 137-150). Routledge.</w:t>
      </w:r>
    </w:p>
    <w:p w:rsidR="006C57AC" w:rsidRDefault="006C57AC" w:rsidP="00CD1D72">
      <w:pPr>
        <w:ind w:left="720" w:hanging="720"/>
      </w:pPr>
    </w:p>
    <w:p w:rsidR="006C57AC" w:rsidRDefault="006C57AC" w:rsidP="00CD1D72">
      <w:pPr>
        <w:ind w:left="720" w:hanging="720"/>
      </w:pPr>
      <w:r>
        <w:t>Sandling, M., &amp; Chandler, K. L. (2021). Exploring America in the 1960s Grades 6-8: Our Voices Will Be Heard.</w:t>
      </w:r>
    </w:p>
    <w:p w:rsidR="006C57AC" w:rsidRDefault="006C57AC" w:rsidP="00CD1D72">
      <w:pPr>
        <w:ind w:left="720" w:hanging="720"/>
      </w:pPr>
    </w:p>
    <w:p w:rsidR="006C57AC" w:rsidRDefault="006C57AC" w:rsidP="00CD1D72">
      <w:pPr>
        <w:ind w:left="720" w:hanging="720"/>
      </w:pPr>
      <w:r>
        <w:t xml:space="preserve">Sprinkle, R. H., &amp; Payne-Sturges, D. C. (2021). Mixture toxicity, cumulative risk, and environmental justice in United States federal policy, 1980–2016. </w:t>
      </w:r>
      <w:r>
        <w:rPr>
          <w:i/>
          <w:iCs/>
        </w:rPr>
        <w:t>Environmental Health</w:t>
      </w:r>
      <w:r>
        <w:t xml:space="preserve">, </w:t>
      </w:r>
      <w:r>
        <w:rPr>
          <w:i/>
          <w:iCs/>
        </w:rPr>
        <w:t>20</w:t>
      </w:r>
      <w:r>
        <w:t>(1), 1-25.</w:t>
      </w:r>
    </w:p>
    <w:p w:rsidR="006C57AC" w:rsidRDefault="006C57AC" w:rsidP="00CD1D72"/>
    <w:p w:rsidR="006C57AC" w:rsidRDefault="006C57AC" w:rsidP="00CD1D72">
      <w:pPr>
        <w:ind w:left="720" w:hanging="720"/>
      </w:pPr>
      <w:r>
        <w:t xml:space="preserve">Taylor, D. E. (2020). Mobilizing for environmental justice in communities of color: An emerging profile of people of color environmental groups. In </w:t>
      </w:r>
      <w:r>
        <w:rPr>
          <w:i/>
          <w:iCs/>
        </w:rPr>
        <w:t>Ecosystem management: Adaptive strategies for natural resources organizations in the twenty-first century</w:t>
      </w:r>
      <w:r>
        <w:t xml:space="preserve"> (pp. 33-67). CRC Press.</w:t>
      </w:r>
    </w:p>
    <w:p w:rsidR="006C57AC" w:rsidRDefault="006C57AC" w:rsidP="00CD1D72">
      <w:pPr>
        <w:spacing w:before="240" w:after="240"/>
        <w:ind w:firstLine="720"/>
      </w:pPr>
    </w:p>
    <w:sectPr w:rsidR="006C57AC">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3B63" w:rsidRDefault="001B3B63" w:rsidP="00CD1D72">
      <w:r>
        <w:separator/>
      </w:r>
    </w:p>
  </w:endnote>
  <w:endnote w:type="continuationSeparator" w:id="0">
    <w:p w:rsidR="001B3B63" w:rsidRDefault="001B3B63" w:rsidP="00CD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3B63" w:rsidRDefault="001B3B63" w:rsidP="00CD1D72">
      <w:r>
        <w:separator/>
      </w:r>
    </w:p>
  </w:footnote>
  <w:footnote w:type="continuationSeparator" w:id="0">
    <w:p w:rsidR="001B3B63" w:rsidRDefault="001B3B63" w:rsidP="00CD1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742889"/>
      <w:docPartObj>
        <w:docPartGallery w:val="Page Numbers (Top of Page)"/>
        <w:docPartUnique/>
      </w:docPartObj>
    </w:sdtPr>
    <w:sdtEndPr>
      <w:rPr>
        <w:noProof/>
      </w:rPr>
    </w:sdtEndPr>
    <w:sdtContent>
      <w:p w:rsidR="00CD1D72" w:rsidRDefault="00CD1D72">
        <w:pPr>
          <w:pStyle w:val="Header"/>
          <w:jc w:val="right"/>
        </w:pPr>
        <w:r>
          <w:fldChar w:fldCharType="begin"/>
        </w:r>
        <w:r>
          <w:instrText xml:space="preserve"> PAGE   \* MERGEFORMAT </w:instrText>
        </w:r>
        <w:r>
          <w:fldChar w:fldCharType="separate"/>
        </w:r>
        <w:r w:rsidR="001B3B63">
          <w:rPr>
            <w:noProof/>
          </w:rPr>
          <w:t>1</w:t>
        </w:r>
        <w:r>
          <w:rPr>
            <w:noProof/>
          </w:rPr>
          <w:fldChar w:fldCharType="end"/>
        </w:r>
      </w:p>
    </w:sdtContent>
  </w:sdt>
  <w:p w:rsidR="00CD1D72" w:rsidRDefault="00CD1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19F"/>
    <w:rsid w:val="001B3B63"/>
    <w:rsid w:val="002941C0"/>
    <w:rsid w:val="005C3131"/>
    <w:rsid w:val="005F219F"/>
    <w:rsid w:val="006C57AC"/>
    <w:rsid w:val="00CD1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82C0F"/>
  <w15:docId w15:val="{79F7DD99-6262-4918-BDB2-8B1933FC1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CD1D72"/>
    <w:pPr>
      <w:tabs>
        <w:tab w:val="center" w:pos="4680"/>
        <w:tab w:val="right" w:pos="9360"/>
      </w:tabs>
    </w:pPr>
  </w:style>
  <w:style w:type="character" w:customStyle="1" w:styleId="HeaderChar">
    <w:name w:val="Header Char"/>
    <w:basedOn w:val="DefaultParagraphFont"/>
    <w:link w:val="Header"/>
    <w:uiPriority w:val="99"/>
    <w:rsid w:val="00CD1D72"/>
    <w:rPr>
      <w:sz w:val="24"/>
      <w:szCs w:val="24"/>
    </w:rPr>
  </w:style>
  <w:style w:type="paragraph" w:styleId="Footer">
    <w:name w:val="footer"/>
    <w:basedOn w:val="Normal"/>
    <w:link w:val="FooterChar"/>
    <w:uiPriority w:val="99"/>
    <w:unhideWhenUsed/>
    <w:rsid w:val="00CD1D72"/>
    <w:pPr>
      <w:tabs>
        <w:tab w:val="center" w:pos="4680"/>
        <w:tab w:val="right" w:pos="9360"/>
      </w:tabs>
    </w:pPr>
  </w:style>
  <w:style w:type="character" w:customStyle="1" w:styleId="FooterChar">
    <w:name w:val="Footer Char"/>
    <w:basedOn w:val="DefaultParagraphFont"/>
    <w:link w:val="Footer"/>
    <w:uiPriority w:val="99"/>
    <w:rsid w:val="00CD1D7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168271">
      <w:bodyDiv w:val="1"/>
      <w:marLeft w:val="0"/>
      <w:marRight w:val="0"/>
      <w:marTop w:val="0"/>
      <w:marBottom w:val="0"/>
      <w:divBdr>
        <w:top w:val="none" w:sz="0" w:space="0" w:color="auto"/>
        <w:left w:val="none" w:sz="0" w:space="0" w:color="auto"/>
        <w:bottom w:val="none" w:sz="0" w:space="0" w:color="auto"/>
        <w:right w:val="none" w:sz="0" w:space="0" w:color="auto"/>
      </w:divBdr>
      <w:divsChild>
        <w:div w:id="1278177395">
          <w:marLeft w:val="0"/>
          <w:marRight w:val="0"/>
          <w:marTop w:val="0"/>
          <w:marBottom w:val="0"/>
          <w:divBdr>
            <w:top w:val="none" w:sz="0" w:space="0" w:color="auto"/>
            <w:left w:val="none" w:sz="0" w:space="0" w:color="auto"/>
            <w:bottom w:val="none" w:sz="0" w:space="0" w:color="auto"/>
            <w:right w:val="none" w:sz="0" w:space="0" w:color="auto"/>
          </w:divBdr>
        </w:div>
      </w:divsChild>
    </w:div>
    <w:div w:id="1038774201">
      <w:bodyDiv w:val="1"/>
      <w:marLeft w:val="0"/>
      <w:marRight w:val="0"/>
      <w:marTop w:val="0"/>
      <w:marBottom w:val="0"/>
      <w:divBdr>
        <w:top w:val="none" w:sz="0" w:space="0" w:color="auto"/>
        <w:left w:val="none" w:sz="0" w:space="0" w:color="auto"/>
        <w:bottom w:val="none" w:sz="0" w:space="0" w:color="auto"/>
        <w:right w:val="none" w:sz="0" w:space="0" w:color="auto"/>
      </w:divBdr>
      <w:divsChild>
        <w:div w:id="1339625214">
          <w:marLeft w:val="0"/>
          <w:marRight w:val="0"/>
          <w:marTop w:val="0"/>
          <w:marBottom w:val="0"/>
          <w:divBdr>
            <w:top w:val="none" w:sz="0" w:space="0" w:color="auto"/>
            <w:left w:val="none" w:sz="0" w:space="0" w:color="auto"/>
            <w:bottom w:val="none" w:sz="0" w:space="0" w:color="auto"/>
            <w:right w:val="none" w:sz="0" w:space="0" w:color="auto"/>
          </w:divBdr>
        </w:div>
      </w:divsChild>
    </w:div>
    <w:div w:id="1149594103">
      <w:bodyDiv w:val="1"/>
      <w:marLeft w:val="0"/>
      <w:marRight w:val="0"/>
      <w:marTop w:val="0"/>
      <w:marBottom w:val="0"/>
      <w:divBdr>
        <w:top w:val="none" w:sz="0" w:space="0" w:color="auto"/>
        <w:left w:val="none" w:sz="0" w:space="0" w:color="auto"/>
        <w:bottom w:val="none" w:sz="0" w:space="0" w:color="auto"/>
        <w:right w:val="none" w:sz="0" w:space="0" w:color="auto"/>
      </w:divBdr>
      <w:divsChild>
        <w:div w:id="848298086">
          <w:marLeft w:val="0"/>
          <w:marRight w:val="0"/>
          <w:marTop w:val="0"/>
          <w:marBottom w:val="0"/>
          <w:divBdr>
            <w:top w:val="none" w:sz="0" w:space="0" w:color="auto"/>
            <w:left w:val="none" w:sz="0" w:space="0" w:color="auto"/>
            <w:bottom w:val="none" w:sz="0" w:space="0" w:color="auto"/>
            <w:right w:val="none" w:sz="0" w:space="0" w:color="auto"/>
          </w:divBdr>
        </w:div>
      </w:divsChild>
    </w:div>
    <w:div w:id="1413428405">
      <w:bodyDiv w:val="1"/>
      <w:marLeft w:val="0"/>
      <w:marRight w:val="0"/>
      <w:marTop w:val="0"/>
      <w:marBottom w:val="0"/>
      <w:divBdr>
        <w:top w:val="none" w:sz="0" w:space="0" w:color="auto"/>
        <w:left w:val="none" w:sz="0" w:space="0" w:color="auto"/>
        <w:bottom w:val="none" w:sz="0" w:space="0" w:color="auto"/>
        <w:right w:val="none" w:sz="0" w:space="0" w:color="auto"/>
      </w:divBdr>
      <w:divsChild>
        <w:div w:id="298920171">
          <w:marLeft w:val="0"/>
          <w:marRight w:val="0"/>
          <w:marTop w:val="0"/>
          <w:marBottom w:val="0"/>
          <w:divBdr>
            <w:top w:val="none" w:sz="0" w:space="0" w:color="auto"/>
            <w:left w:val="none" w:sz="0" w:space="0" w:color="auto"/>
            <w:bottom w:val="none" w:sz="0" w:space="0" w:color="auto"/>
            <w:right w:val="none" w:sz="0" w:space="0" w:color="auto"/>
          </w:divBdr>
        </w:div>
      </w:divsChild>
    </w:div>
    <w:div w:id="1445029735">
      <w:bodyDiv w:val="1"/>
      <w:marLeft w:val="0"/>
      <w:marRight w:val="0"/>
      <w:marTop w:val="0"/>
      <w:marBottom w:val="0"/>
      <w:divBdr>
        <w:top w:val="none" w:sz="0" w:space="0" w:color="auto"/>
        <w:left w:val="none" w:sz="0" w:space="0" w:color="auto"/>
        <w:bottom w:val="none" w:sz="0" w:space="0" w:color="auto"/>
        <w:right w:val="none" w:sz="0" w:space="0" w:color="auto"/>
      </w:divBdr>
      <w:divsChild>
        <w:div w:id="545987054">
          <w:marLeft w:val="0"/>
          <w:marRight w:val="0"/>
          <w:marTop w:val="0"/>
          <w:marBottom w:val="0"/>
          <w:divBdr>
            <w:top w:val="none" w:sz="0" w:space="0" w:color="auto"/>
            <w:left w:val="none" w:sz="0" w:space="0" w:color="auto"/>
            <w:bottom w:val="none" w:sz="0" w:space="0" w:color="auto"/>
            <w:right w:val="none" w:sz="0" w:space="0" w:color="auto"/>
          </w:divBdr>
        </w:div>
      </w:divsChild>
    </w:div>
    <w:div w:id="1910841365">
      <w:bodyDiv w:val="1"/>
      <w:marLeft w:val="0"/>
      <w:marRight w:val="0"/>
      <w:marTop w:val="0"/>
      <w:marBottom w:val="0"/>
      <w:divBdr>
        <w:top w:val="none" w:sz="0" w:space="0" w:color="auto"/>
        <w:left w:val="none" w:sz="0" w:space="0" w:color="auto"/>
        <w:bottom w:val="none" w:sz="0" w:space="0" w:color="auto"/>
        <w:right w:val="none" w:sz="0" w:space="0" w:color="auto"/>
      </w:divBdr>
      <w:divsChild>
        <w:div w:id="10841859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1807</Words>
  <Characters>10304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2021-10-04T22:38:00Z</dcterms:created>
  <dcterms:modified xsi:type="dcterms:W3CDTF">2021-10-04T22:38:00Z</dcterms:modified>
</cp:coreProperties>
</file>